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0DB" w:rsidRPr="00FF7687" w:rsidRDefault="001100DB" w:rsidP="001100DB">
      <w:pPr>
        <w:pStyle w:val="3GPPHeader"/>
        <w:spacing w:after="60"/>
        <w:rPr>
          <w:sz w:val="36"/>
          <w:szCs w:val="32"/>
          <w:lang w:val="en-US"/>
        </w:rPr>
      </w:pPr>
      <w:r w:rsidRPr="001100DB">
        <w:rPr>
          <w:sz w:val="28"/>
          <w:lang w:val="en-US"/>
        </w:rPr>
        <w:t>3GPP TSG-RAN WG4 NR AH</w:t>
      </w:r>
      <w:r w:rsidRPr="001100DB">
        <w:rPr>
          <w:sz w:val="28"/>
          <w:lang w:val="en-US"/>
        </w:rPr>
        <w:tab/>
      </w:r>
      <w:r w:rsidRPr="00FF7687">
        <w:rPr>
          <w:sz w:val="32"/>
          <w:szCs w:val="32"/>
          <w:lang w:val="en-US"/>
        </w:rPr>
        <w:t>R4-17</w:t>
      </w:r>
      <w:r w:rsidR="00FF7687" w:rsidRPr="00FF7687">
        <w:rPr>
          <w:sz w:val="32"/>
          <w:szCs w:val="32"/>
          <w:lang w:val="en-US"/>
        </w:rPr>
        <w:t>00226</w:t>
      </w:r>
    </w:p>
    <w:p w:rsidR="001100DB" w:rsidRPr="001100DB" w:rsidRDefault="001100DB" w:rsidP="001100DB">
      <w:pPr>
        <w:pStyle w:val="3GPPHeader"/>
        <w:rPr>
          <w:sz w:val="28"/>
          <w:lang w:val="en-US"/>
        </w:rPr>
      </w:pPr>
      <w:r w:rsidRPr="00FF7687">
        <w:rPr>
          <w:sz w:val="28"/>
          <w:lang w:val="en-US"/>
        </w:rPr>
        <w:t>Spokane, USA, 17th – 19th January 2017</w:t>
      </w:r>
      <w:bookmarkStart w:id="0" w:name="_GoBack"/>
      <w:bookmarkEnd w:id="0"/>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1B502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8C012E" w:rsidRPr="008C012E">
        <w:rPr>
          <w:sz w:val="22"/>
          <w:szCs w:val="22"/>
          <w:lang w:val="en-US"/>
        </w:rPr>
        <w:t xml:space="preserve">On </w:t>
      </w:r>
      <w:r w:rsidR="001100DB">
        <w:rPr>
          <w:sz w:val="22"/>
          <w:szCs w:val="22"/>
          <w:lang w:val="en-US"/>
        </w:rPr>
        <w:t>aspects to consider to settle NR sub-carrier spacing</w:t>
      </w:r>
      <w:r w:rsidR="008C012E" w:rsidRPr="008C012E">
        <w:rPr>
          <w:sz w:val="22"/>
          <w:szCs w:val="22"/>
          <w:lang w:val="en-US"/>
        </w:rPr>
        <w:t xml:space="preserve"> </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4961FD">
        <w:rPr>
          <w:sz w:val="22"/>
          <w:szCs w:val="22"/>
          <w:lang w:val="en-US"/>
        </w:rPr>
        <w:t>3.2.2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98295C">
        <w:rPr>
          <w:sz w:val="22"/>
          <w:szCs w:val="22"/>
          <w:lang w:val="en-US"/>
        </w:rPr>
        <w:t>Discussion</w:t>
      </w:r>
    </w:p>
    <w:p w:rsidR="00E90E49" w:rsidRPr="00F6302A" w:rsidRDefault="00E90E49" w:rsidP="00E90E49">
      <w:pPr>
        <w:pStyle w:val="Heading1"/>
        <w:rPr>
          <w:lang w:val="en-US"/>
        </w:rPr>
      </w:pPr>
      <w:r w:rsidRPr="00F6302A">
        <w:rPr>
          <w:lang w:val="en-US"/>
        </w:rPr>
        <w:t>Introduction</w:t>
      </w:r>
    </w:p>
    <w:p w:rsidR="008C012E" w:rsidRDefault="00003960" w:rsidP="00253E53">
      <w:pPr>
        <w:pStyle w:val="BodyText"/>
        <w:rPr>
          <w:rFonts w:cs="Arial"/>
          <w:sz w:val="22"/>
          <w:szCs w:val="22"/>
          <w:lang w:val="en-US"/>
        </w:rPr>
      </w:pPr>
      <w:r>
        <w:rPr>
          <w:rFonts w:cs="Arial"/>
          <w:sz w:val="22"/>
          <w:szCs w:val="22"/>
          <w:lang w:val="en-US"/>
        </w:rPr>
        <w:t xml:space="preserve">RAN4 has received an LS from RAN1 on studying the </w:t>
      </w:r>
      <w:r w:rsidR="00D1521E">
        <w:rPr>
          <w:rFonts w:cs="Arial"/>
          <w:sz w:val="22"/>
          <w:szCs w:val="22"/>
          <w:lang w:val="en-US"/>
        </w:rPr>
        <w:t xml:space="preserve">feasible sub-carrier </w:t>
      </w:r>
      <w:proofErr w:type="spellStart"/>
      <w:r w:rsidR="00D1521E">
        <w:rPr>
          <w:rFonts w:cs="Arial"/>
          <w:sz w:val="22"/>
          <w:szCs w:val="22"/>
          <w:lang w:val="en-US"/>
        </w:rPr>
        <w:t>spacings</w:t>
      </w:r>
      <w:proofErr w:type="spellEnd"/>
      <w:r w:rsidR="00D1521E">
        <w:rPr>
          <w:rFonts w:cs="Arial"/>
          <w:sz w:val="22"/>
          <w:szCs w:val="22"/>
          <w:lang w:val="en-US"/>
        </w:rPr>
        <w:t xml:space="preserve"> for different frequency bands and provide feedback [1].</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003960">
        <w:rPr>
          <w:rFonts w:cs="Arial"/>
          <w:bCs/>
          <w:sz w:val="22"/>
          <w:szCs w:val="22"/>
        </w:rPr>
        <w:t>paper</w:t>
      </w:r>
      <w:r w:rsidR="0098295C">
        <w:rPr>
          <w:rFonts w:cs="Arial"/>
          <w:bCs/>
          <w:sz w:val="22"/>
          <w:szCs w:val="22"/>
        </w:rPr>
        <w:t xml:space="preserve">, we provide </w:t>
      </w:r>
      <w:r w:rsidR="00003960">
        <w:rPr>
          <w:rFonts w:cs="Arial"/>
          <w:bCs/>
          <w:sz w:val="22"/>
          <w:szCs w:val="22"/>
        </w:rPr>
        <w:t xml:space="preserve">some discussion in relation to the RAN1 request and </w:t>
      </w:r>
      <w:r w:rsidR="00D1521E">
        <w:rPr>
          <w:rFonts w:cs="Arial"/>
          <w:bCs/>
          <w:sz w:val="22"/>
          <w:szCs w:val="22"/>
        </w:rPr>
        <w:t xml:space="preserve">some aspects that </w:t>
      </w:r>
      <w:proofErr w:type="gramStart"/>
      <w:r w:rsidR="00D1521E">
        <w:rPr>
          <w:rFonts w:cs="Arial"/>
          <w:bCs/>
          <w:sz w:val="22"/>
          <w:szCs w:val="22"/>
        </w:rPr>
        <w:t>need to</w:t>
      </w:r>
      <w:proofErr w:type="gramEnd"/>
      <w:r w:rsidR="00D1521E">
        <w:rPr>
          <w:rFonts w:cs="Arial"/>
          <w:bCs/>
          <w:sz w:val="22"/>
          <w:szCs w:val="22"/>
        </w:rPr>
        <w:t xml:space="preserve"> be considered to conclude on feasible sub-carrier </w:t>
      </w:r>
      <w:proofErr w:type="spellStart"/>
      <w:r w:rsidR="00D1521E">
        <w:rPr>
          <w:rFonts w:cs="Arial"/>
          <w:bCs/>
          <w:sz w:val="22"/>
          <w:szCs w:val="22"/>
        </w:rPr>
        <w:t>spacings</w:t>
      </w:r>
      <w:proofErr w:type="spellEnd"/>
      <w:r w:rsidR="00D1521E">
        <w:rPr>
          <w:rFonts w:cs="Arial"/>
          <w:bCs/>
          <w:sz w:val="22"/>
          <w:szCs w:val="22"/>
        </w:rPr>
        <w:t xml:space="preserve"> for different bands.</w:t>
      </w:r>
    </w:p>
    <w:p w:rsidR="00003960" w:rsidRDefault="00003960" w:rsidP="00BF3283">
      <w:pPr>
        <w:pStyle w:val="Heading1"/>
        <w:rPr>
          <w:lang w:val="en-US"/>
        </w:rPr>
      </w:pPr>
      <w:r w:rsidRPr="00BF3283">
        <w:rPr>
          <w:lang w:val="en-US"/>
        </w:rPr>
        <w:t>Discussion</w:t>
      </w:r>
    </w:p>
    <w:p w:rsidR="00003960" w:rsidRPr="00485106" w:rsidRDefault="00003960" w:rsidP="00BF3283">
      <w:pPr>
        <w:rPr>
          <w:sz w:val="22"/>
          <w:szCs w:val="22"/>
          <w:lang w:val="en-US"/>
        </w:rPr>
      </w:pPr>
      <w:r w:rsidRPr="00485106">
        <w:rPr>
          <w:sz w:val="22"/>
          <w:szCs w:val="22"/>
          <w:lang w:val="en-US"/>
        </w:rPr>
        <w:t xml:space="preserve">The </w:t>
      </w:r>
      <w:r w:rsidR="004E19B3" w:rsidRPr="00485106">
        <w:rPr>
          <w:sz w:val="22"/>
          <w:szCs w:val="22"/>
          <w:lang w:val="en-US"/>
        </w:rPr>
        <w:t>received LS from RAN1 contains the following:</w:t>
      </w:r>
    </w:p>
    <w:p w:rsidR="00D1521E" w:rsidRPr="00D1521E" w:rsidRDefault="00D1521E" w:rsidP="00D1521E">
      <w:pPr>
        <w:overflowPunct/>
        <w:autoSpaceDE/>
        <w:autoSpaceDN/>
        <w:adjustRightInd/>
        <w:spacing w:after="0"/>
        <w:jc w:val="left"/>
        <w:textAlignment w:val="auto"/>
        <w:rPr>
          <w:rFonts w:cs="Arial"/>
          <w:color w:val="A6A6A6" w:themeColor="background1" w:themeShade="A6"/>
          <w:sz w:val="22"/>
          <w:szCs w:val="22"/>
          <w:lang w:eastAsia="en-US"/>
        </w:rPr>
      </w:pPr>
      <w:r w:rsidRPr="00D1521E">
        <w:rPr>
          <w:rFonts w:cs="Arial"/>
          <w:color w:val="A6A6A6" w:themeColor="background1" w:themeShade="A6"/>
          <w:sz w:val="22"/>
          <w:szCs w:val="22"/>
          <w:lang w:eastAsia="en-US"/>
        </w:rPr>
        <w:t>RAN1 has agree</w:t>
      </w:r>
      <w:r w:rsidRPr="00D1521E">
        <w:rPr>
          <w:rFonts w:cs="Arial"/>
          <w:color w:val="A6A6A6" w:themeColor="background1" w:themeShade="A6"/>
          <w:sz w:val="22"/>
          <w:szCs w:val="22"/>
          <w:lang w:eastAsia="ja-JP"/>
        </w:rPr>
        <w:t>d</w:t>
      </w:r>
      <w:r w:rsidRPr="00D1521E">
        <w:rPr>
          <w:rFonts w:cs="Arial"/>
          <w:color w:val="A6A6A6" w:themeColor="background1" w:themeShade="A6"/>
          <w:sz w:val="22"/>
          <w:szCs w:val="22"/>
          <w:lang w:eastAsia="en-US"/>
        </w:rPr>
        <w:t xml:space="preserve"> on a subcarrier spacing </w:t>
      </w:r>
      <w:r w:rsidRPr="00D1521E">
        <w:rPr>
          <w:rFonts w:cs="Arial"/>
          <w:i/>
          <w:color w:val="A6A6A6" w:themeColor="background1" w:themeShade="A6"/>
          <w:sz w:val="22"/>
          <w:szCs w:val="22"/>
          <w:lang w:eastAsia="en-US"/>
        </w:rPr>
        <w:t>f</w:t>
      </w:r>
      <w:r w:rsidRPr="00D1521E">
        <w:rPr>
          <w:rFonts w:cs="Arial"/>
          <w:color w:val="A6A6A6" w:themeColor="background1" w:themeShade="A6"/>
          <w:sz w:val="22"/>
          <w:szCs w:val="22"/>
          <w:vertAlign w:val="subscript"/>
          <w:lang w:eastAsia="en-US"/>
        </w:rPr>
        <w:t>c</w:t>
      </w:r>
      <w:r w:rsidRPr="00D1521E">
        <w:rPr>
          <w:rFonts w:cs="Arial"/>
          <w:color w:val="A6A6A6" w:themeColor="background1" w:themeShade="A6"/>
          <w:sz w:val="22"/>
          <w:szCs w:val="22"/>
          <w:lang w:eastAsia="en-US"/>
        </w:rPr>
        <w:t>=15·2</w:t>
      </w:r>
      <w:r w:rsidRPr="00D1521E">
        <w:rPr>
          <w:rFonts w:cs="Arial"/>
          <w:i/>
          <w:color w:val="A6A6A6" w:themeColor="background1" w:themeShade="A6"/>
          <w:sz w:val="22"/>
          <w:szCs w:val="22"/>
          <w:vertAlign w:val="superscript"/>
          <w:lang w:eastAsia="en-US"/>
        </w:rPr>
        <w:t>n</w:t>
      </w:r>
      <w:r w:rsidRPr="00D1521E">
        <w:rPr>
          <w:rFonts w:cs="Arial"/>
          <w:color w:val="A6A6A6" w:themeColor="background1" w:themeShade="A6"/>
          <w:sz w:val="22"/>
          <w:szCs w:val="22"/>
          <w:lang w:eastAsia="en-US"/>
        </w:rPr>
        <w:t xml:space="preserve"> as the subcarrier spacing for NR. RAN1 has also discussed the possible values of the integer </w:t>
      </w:r>
      <w:r w:rsidRPr="00D1521E">
        <w:rPr>
          <w:rFonts w:cs="Arial"/>
          <w:i/>
          <w:color w:val="A6A6A6" w:themeColor="background1" w:themeShade="A6"/>
          <w:sz w:val="22"/>
          <w:szCs w:val="22"/>
          <w:lang w:eastAsia="en-US"/>
        </w:rPr>
        <w:t>n</w:t>
      </w:r>
      <w:r w:rsidRPr="00D1521E">
        <w:rPr>
          <w:rFonts w:cs="Arial"/>
          <w:color w:val="A6A6A6" w:themeColor="background1" w:themeShade="A6"/>
          <w:sz w:val="22"/>
          <w:szCs w:val="22"/>
          <w:lang w:eastAsia="en-US"/>
        </w:rPr>
        <w:t xml:space="preserve"> and RAN1 </w:t>
      </w:r>
      <w:r w:rsidRPr="00D1521E">
        <w:rPr>
          <w:rFonts w:cs="Arial"/>
          <w:color w:val="A6A6A6" w:themeColor="background1" w:themeShade="A6"/>
          <w:sz w:val="22"/>
          <w:szCs w:val="22"/>
          <w:lang w:eastAsia="ja-JP"/>
        </w:rPr>
        <w:t xml:space="preserve">currently discussing </w:t>
      </w:r>
      <w:r w:rsidRPr="00D1521E">
        <w:rPr>
          <w:rFonts w:cs="Arial"/>
          <w:color w:val="A6A6A6" w:themeColor="background1" w:themeShade="A6"/>
          <w:sz w:val="22"/>
          <w:szCs w:val="22"/>
          <w:lang w:eastAsia="en-US"/>
        </w:rPr>
        <w:t xml:space="preserve">to support </w:t>
      </w:r>
      <w:r w:rsidRPr="00D1521E">
        <w:rPr>
          <w:rFonts w:cs="Arial"/>
          <w:color w:val="A6A6A6" w:themeColor="background1" w:themeShade="A6"/>
          <w:sz w:val="22"/>
          <w:szCs w:val="22"/>
          <w:lang w:eastAsia="ja-JP"/>
        </w:rPr>
        <w:t xml:space="preserve">of </w:t>
      </w:r>
      <w:r w:rsidRPr="00D1521E">
        <w:rPr>
          <w:rFonts w:cs="Arial"/>
          <w:color w:val="A6A6A6" w:themeColor="background1" w:themeShade="A6"/>
          <w:sz w:val="22"/>
          <w:szCs w:val="22"/>
          <w:lang w:eastAsia="en-US"/>
        </w:rPr>
        <w:t xml:space="preserve">at least 15, 30, 60, </w:t>
      </w:r>
      <w:r w:rsidRPr="00D1521E">
        <w:rPr>
          <w:rFonts w:cs="Arial"/>
          <w:color w:val="A6A6A6" w:themeColor="background1" w:themeShade="A6"/>
          <w:sz w:val="22"/>
          <w:szCs w:val="22"/>
          <w:lang w:eastAsia="ja-JP"/>
        </w:rPr>
        <w:t>1</w:t>
      </w:r>
      <w:r w:rsidRPr="00D1521E">
        <w:rPr>
          <w:rFonts w:cs="Arial"/>
          <w:color w:val="A6A6A6" w:themeColor="background1" w:themeShade="A6"/>
          <w:sz w:val="22"/>
          <w:szCs w:val="22"/>
          <w:lang w:eastAsia="en-US"/>
        </w:rPr>
        <w:t xml:space="preserve">20, 240, and 480 kHz while the need for </w:t>
      </w:r>
      <w:r w:rsidRPr="00D1521E">
        <w:rPr>
          <w:rFonts w:cs="Arial"/>
          <w:color w:val="A6A6A6" w:themeColor="background1" w:themeShade="A6"/>
          <w:sz w:val="22"/>
          <w:szCs w:val="22"/>
          <w:lang w:eastAsia="ja-JP"/>
        </w:rPr>
        <w:t xml:space="preserve">smaller </w:t>
      </w:r>
      <w:r w:rsidRPr="00D1521E">
        <w:rPr>
          <w:rFonts w:cs="Arial"/>
          <w:color w:val="A6A6A6" w:themeColor="background1" w:themeShade="A6"/>
          <w:sz w:val="22"/>
          <w:szCs w:val="22"/>
          <w:lang w:eastAsia="en-US"/>
        </w:rPr>
        <w:t xml:space="preserve">subcarrier </w:t>
      </w:r>
      <w:proofErr w:type="spellStart"/>
      <w:r w:rsidRPr="00D1521E">
        <w:rPr>
          <w:rFonts w:cs="Arial"/>
          <w:color w:val="A6A6A6" w:themeColor="background1" w:themeShade="A6"/>
          <w:sz w:val="22"/>
          <w:szCs w:val="22"/>
          <w:lang w:eastAsia="en-US"/>
        </w:rPr>
        <w:t>spacings</w:t>
      </w:r>
      <w:proofErr w:type="spellEnd"/>
      <w:r w:rsidRPr="00D1521E">
        <w:rPr>
          <w:rFonts w:cs="Arial"/>
          <w:color w:val="A6A6A6" w:themeColor="background1" w:themeShade="A6"/>
          <w:sz w:val="22"/>
          <w:szCs w:val="22"/>
          <w:lang w:eastAsia="en-US"/>
        </w:rPr>
        <w:t xml:space="preserve"> of </w:t>
      </w:r>
      <w:r w:rsidRPr="00D1521E">
        <w:rPr>
          <w:rFonts w:cs="Arial"/>
          <w:color w:val="A6A6A6" w:themeColor="background1" w:themeShade="A6"/>
          <w:sz w:val="22"/>
          <w:szCs w:val="22"/>
          <w:lang w:eastAsia="ja-JP"/>
        </w:rPr>
        <w:t xml:space="preserve">e.g., </w:t>
      </w:r>
      <w:r w:rsidRPr="00D1521E">
        <w:rPr>
          <w:rFonts w:cs="Arial"/>
          <w:color w:val="A6A6A6" w:themeColor="background1" w:themeShade="A6"/>
          <w:sz w:val="22"/>
          <w:szCs w:val="22"/>
          <w:lang w:eastAsia="en-US"/>
        </w:rPr>
        <w:t xml:space="preserve">3.75 kHz </w:t>
      </w:r>
      <w:r w:rsidRPr="00D1521E">
        <w:rPr>
          <w:rFonts w:cs="Arial"/>
          <w:color w:val="A6A6A6" w:themeColor="background1" w:themeShade="A6"/>
          <w:sz w:val="22"/>
          <w:szCs w:val="22"/>
          <w:lang w:eastAsia="ja-JP"/>
        </w:rPr>
        <w:t>is</w:t>
      </w:r>
      <w:r w:rsidRPr="00D1521E">
        <w:rPr>
          <w:rFonts w:cs="Arial"/>
          <w:color w:val="A6A6A6" w:themeColor="background1" w:themeShade="A6"/>
          <w:sz w:val="22"/>
          <w:szCs w:val="22"/>
          <w:lang w:eastAsia="en-US"/>
        </w:rPr>
        <w:t xml:space="preserve"> for further study </w:t>
      </w:r>
      <w:proofErr w:type="gramStart"/>
      <w:r w:rsidRPr="00D1521E">
        <w:rPr>
          <w:rFonts w:cs="Arial"/>
          <w:color w:val="A6A6A6" w:themeColor="background1" w:themeShade="A6"/>
          <w:sz w:val="22"/>
          <w:szCs w:val="22"/>
          <w:lang w:eastAsia="en-US"/>
        </w:rPr>
        <w:t>according to</w:t>
      </w:r>
      <w:proofErr w:type="gramEnd"/>
      <w:r w:rsidRPr="00D1521E">
        <w:rPr>
          <w:rFonts w:cs="Arial"/>
          <w:color w:val="A6A6A6" w:themeColor="background1" w:themeShade="A6"/>
          <w:sz w:val="22"/>
          <w:szCs w:val="22"/>
          <w:lang w:eastAsia="en-US"/>
        </w:rPr>
        <w:t xml:space="preserve"> the </w:t>
      </w:r>
      <w:r w:rsidRPr="00D1521E">
        <w:rPr>
          <w:rFonts w:cs="Arial"/>
          <w:color w:val="A6A6A6" w:themeColor="background1" w:themeShade="A6"/>
          <w:sz w:val="22"/>
          <w:szCs w:val="22"/>
          <w:lang w:eastAsia="ja-JP"/>
        </w:rPr>
        <w:t>decision at RAN1 #86</w:t>
      </w:r>
      <w:r w:rsidRPr="00D1521E">
        <w:rPr>
          <w:rFonts w:cs="Arial"/>
          <w:color w:val="A6A6A6" w:themeColor="background1" w:themeShade="A6"/>
          <w:sz w:val="22"/>
          <w:szCs w:val="22"/>
          <w:lang w:eastAsia="en-US"/>
        </w:rPr>
        <w:t>:</w:t>
      </w:r>
    </w:p>
    <w:p w:rsidR="00D1521E" w:rsidRPr="00D1521E" w:rsidRDefault="00D1521E" w:rsidP="00D1521E">
      <w:pPr>
        <w:numPr>
          <w:ilvl w:val="0"/>
          <w:numId w:val="41"/>
        </w:numPr>
        <w:overflowPunct/>
        <w:autoSpaceDE/>
        <w:autoSpaceDN/>
        <w:adjustRightInd/>
        <w:spacing w:after="0"/>
        <w:jc w:val="left"/>
        <w:textAlignment w:val="auto"/>
        <w:rPr>
          <w:rFonts w:ascii="Times New Roman" w:eastAsia="MS Mincho" w:hAnsi="Times New Roman"/>
          <w:i/>
          <w:color w:val="A6A6A6" w:themeColor="background1" w:themeShade="A6"/>
          <w:sz w:val="22"/>
          <w:szCs w:val="22"/>
          <w:lang w:eastAsia="ja-JP"/>
        </w:rPr>
      </w:pPr>
      <w:r w:rsidRPr="00D1521E">
        <w:rPr>
          <w:rFonts w:ascii="Times New Roman" w:eastAsia="MS Mincho" w:hAnsi="Times New Roman"/>
          <w:i/>
          <w:color w:val="A6A6A6" w:themeColor="background1" w:themeShade="A6"/>
          <w:sz w:val="22"/>
          <w:szCs w:val="22"/>
          <w:lang w:eastAsia="ja-JP"/>
        </w:rPr>
        <w:t xml:space="preserve">NR numerology scalability should allow at least from [3.75 kHz] to 480 kHz subcarrier spacing </w:t>
      </w:r>
    </w:p>
    <w:p w:rsidR="00D1521E" w:rsidRPr="00D1521E" w:rsidRDefault="00D1521E" w:rsidP="00D1521E">
      <w:pPr>
        <w:numPr>
          <w:ilvl w:val="0"/>
          <w:numId w:val="41"/>
        </w:numPr>
        <w:overflowPunct/>
        <w:autoSpaceDE/>
        <w:autoSpaceDN/>
        <w:adjustRightInd/>
        <w:spacing w:after="0"/>
        <w:jc w:val="left"/>
        <w:textAlignment w:val="auto"/>
        <w:rPr>
          <w:rFonts w:ascii="Times New Roman" w:eastAsia="MS Mincho" w:hAnsi="Times New Roman"/>
          <w:i/>
          <w:color w:val="A6A6A6" w:themeColor="background1" w:themeShade="A6"/>
          <w:sz w:val="22"/>
          <w:szCs w:val="22"/>
          <w:lang w:eastAsia="ja-JP"/>
        </w:rPr>
      </w:pPr>
      <w:r w:rsidRPr="00D1521E">
        <w:rPr>
          <w:rFonts w:ascii="Times New Roman" w:eastAsia="MS Mincho" w:hAnsi="Times New Roman"/>
          <w:i/>
          <w:color w:val="A6A6A6" w:themeColor="background1" w:themeShade="A6"/>
          <w:sz w:val="22"/>
          <w:szCs w:val="22"/>
          <w:lang w:eastAsia="ja-JP"/>
        </w:rPr>
        <w:t>Necessity of support for less than 15 kHz subcarrier spacing (e.g., 3.75 kHz) should be studied</w:t>
      </w:r>
    </w:p>
    <w:p w:rsidR="00D1521E" w:rsidRPr="00D1521E" w:rsidRDefault="00D1521E" w:rsidP="00D1521E">
      <w:pPr>
        <w:overflowPunct/>
        <w:autoSpaceDE/>
        <w:autoSpaceDN/>
        <w:adjustRightInd/>
        <w:spacing w:after="0"/>
        <w:jc w:val="left"/>
        <w:textAlignment w:val="auto"/>
        <w:rPr>
          <w:rFonts w:cs="Arial"/>
          <w:color w:val="A6A6A6" w:themeColor="background1" w:themeShade="A6"/>
          <w:sz w:val="22"/>
          <w:szCs w:val="22"/>
          <w:lang w:eastAsia="en-US"/>
        </w:rPr>
      </w:pPr>
    </w:p>
    <w:p w:rsidR="00D1521E" w:rsidRPr="00D1521E" w:rsidRDefault="00D1521E" w:rsidP="00D1521E">
      <w:pPr>
        <w:overflowPunct/>
        <w:autoSpaceDE/>
        <w:autoSpaceDN/>
        <w:adjustRightInd/>
        <w:spacing w:after="0"/>
        <w:jc w:val="left"/>
        <w:textAlignment w:val="auto"/>
        <w:rPr>
          <w:rFonts w:cs="Arial"/>
          <w:color w:val="A6A6A6" w:themeColor="background1" w:themeShade="A6"/>
          <w:sz w:val="22"/>
          <w:szCs w:val="22"/>
          <w:lang w:eastAsia="ja-JP"/>
        </w:rPr>
      </w:pPr>
      <w:r w:rsidRPr="00D1521E">
        <w:rPr>
          <w:rFonts w:cs="Arial"/>
          <w:color w:val="A6A6A6" w:themeColor="background1" w:themeShade="A6"/>
          <w:sz w:val="22"/>
          <w:szCs w:val="22"/>
          <w:lang w:eastAsia="en-US"/>
        </w:rPr>
        <w:t xml:space="preserve">The feasibility of a certain subcarrier spacing may depend on e.g. implementation imperfections such as phase noise at different carrier frequencies. The feasibility may also depend on the deployment scenario. RAN1 would therefore ask RAN4 for feedback which subcarrier </w:t>
      </w:r>
      <w:proofErr w:type="spellStart"/>
      <w:r w:rsidRPr="00D1521E">
        <w:rPr>
          <w:rFonts w:cs="Arial"/>
          <w:color w:val="A6A6A6" w:themeColor="background1" w:themeShade="A6"/>
          <w:sz w:val="22"/>
          <w:szCs w:val="22"/>
          <w:lang w:eastAsia="en-US"/>
        </w:rPr>
        <w:t>spacings</w:t>
      </w:r>
      <w:proofErr w:type="spellEnd"/>
      <w:r w:rsidRPr="00D1521E">
        <w:rPr>
          <w:rFonts w:cs="Arial"/>
          <w:color w:val="A6A6A6" w:themeColor="background1" w:themeShade="A6"/>
          <w:sz w:val="22"/>
          <w:szCs w:val="22"/>
          <w:lang w:eastAsia="en-US"/>
        </w:rPr>
        <w:t xml:space="preserve"> that are feasible at different carrier frequencies. </w:t>
      </w:r>
      <w:r w:rsidRPr="00D1521E">
        <w:rPr>
          <w:rFonts w:cs="Arial"/>
          <w:color w:val="A6A6A6" w:themeColor="background1" w:themeShade="A6"/>
          <w:sz w:val="22"/>
          <w:szCs w:val="22"/>
          <w:lang w:eastAsia="ja-JP"/>
        </w:rPr>
        <w:t>RAN1 is currently studying the design and performance of phase noise tracking reference signal.</w:t>
      </w:r>
    </w:p>
    <w:p w:rsidR="00D1521E" w:rsidRPr="00D1521E" w:rsidRDefault="00D1521E" w:rsidP="00D1521E">
      <w:pPr>
        <w:overflowPunct/>
        <w:autoSpaceDE/>
        <w:autoSpaceDN/>
        <w:adjustRightInd/>
        <w:spacing w:after="0"/>
        <w:jc w:val="left"/>
        <w:textAlignment w:val="auto"/>
        <w:rPr>
          <w:rFonts w:cs="Arial"/>
          <w:color w:val="A6A6A6" w:themeColor="background1" w:themeShade="A6"/>
          <w:sz w:val="22"/>
          <w:szCs w:val="22"/>
          <w:lang w:eastAsia="en-US"/>
        </w:rPr>
      </w:pPr>
    </w:p>
    <w:p w:rsidR="00D1521E" w:rsidRPr="00D1521E" w:rsidRDefault="00D1521E" w:rsidP="00D1521E">
      <w:pPr>
        <w:overflowPunct/>
        <w:autoSpaceDE/>
        <w:autoSpaceDN/>
        <w:adjustRightInd/>
        <w:jc w:val="left"/>
        <w:textAlignment w:val="auto"/>
        <w:rPr>
          <w:rFonts w:cs="Arial"/>
          <w:b/>
          <w:color w:val="A6A6A6" w:themeColor="background1" w:themeShade="A6"/>
          <w:sz w:val="22"/>
          <w:szCs w:val="22"/>
          <w:lang w:eastAsia="en-US"/>
        </w:rPr>
      </w:pPr>
      <w:r w:rsidRPr="00D1521E">
        <w:rPr>
          <w:rFonts w:cs="Arial"/>
          <w:b/>
          <w:color w:val="A6A6A6" w:themeColor="background1" w:themeShade="A6"/>
          <w:sz w:val="22"/>
          <w:szCs w:val="22"/>
          <w:lang w:eastAsia="en-US"/>
        </w:rPr>
        <w:t>2. Actions:</w:t>
      </w:r>
    </w:p>
    <w:p w:rsidR="00D1521E" w:rsidRPr="00D1521E" w:rsidRDefault="00D1521E" w:rsidP="00D1521E">
      <w:pPr>
        <w:overflowPunct/>
        <w:autoSpaceDE/>
        <w:autoSpaceDN/>
        <w:adjustRightInd/>
        <w:ind w:left="993" w:hanging="993"/>
        <w:jc w:val="left"/>
        <w:textAlignment w:val="auto"/>
        <w:rPr>
          <w:rFonts w:cs="Arial"/>
          <w:i/>
          <w:iCs/>
          <w:color w:val="A6A6A6" w:themeColor="background1" w:themeShade="A6"/>
          <w:sz w:val="22"/>
          <w:szCs w:val="22"/>
          <w:lang w:eastAsia="en-US"/>
        </w:rPr>
      </w:pPr>
      <w:r w:rsidRPr="00D1521E">
        <w:rPr>
          <w:rFonts w:cs="Arial"/>
          <w:b/>
          <w:color w:val="A6A6A6" w:themeColor="background1" w:themeShade="A6"/>
          <w:sz w:val="22"/>
          <w:szCs w:val="22"/>
          <w:lang w:eastAsia="en-US"/>
        </w:rPr>
        <w:t xml:space="preserve">ACTION: </w:t>
      </w:r>
      <w:r w:rsidRPr="00D1521E">
        <w:rPr>
          <w:rFonts w:cs="Arial"/>
          <w:b/>
          <w:color w:val="A6A6A6" w:themeColor="background1" w:themeShade="A6"/>
          <w:sz w:val="22"/>
          <w:szCs w:val="22"/>
          <w:lang w:eastAsia="en-US"/>
        </w:rPr>
        <w:tab/>
      </w:r>
      <w:r w:rsidRPr="00D1521E">
        <w:rPr>
          <w:rFonts w:cs="Arial"/>
          <w:color w:val="A6A6A6" w:themeColor="background1" w:themeShade="A6"/>
          <w:sz w:val="22"/>
          <w:szCs w:val="22"/>
          <w:lang w:eastAsia="en-US"/>
        </w:rPr>
        <w:t xml:space="preserve">RAN1 would like to ask RAN4 to provide feedback on feasible subcarrier </w:t>
      </w:r>
      <w:proofErr w:type="spellStart"/>
      <w:r w:rsidRPr="00D1521E">
        <w:rPr>
          <w:rFonts w:cs="Arial"/>
          <w:color w:val="A6A6A6" w:themeColor="background1" w:themeShade="A6"/>
          <w:sz w:val="22"/>
          <w:szCs w:val="22"/>
          <w:lang w:eastAsia="en-US"/>
        </w:rPr>
        <w:t>spacings</w:t>
      </w:r>
      <w:proofErr w:type="spellEnd"/>
      <w:r w:rsidRPr="00D1521E">
        <w:rPr>
          <w:rFonts w:cs="Arial"/>
          <w:color w:val="A6A6A6" w:themeColor="background1" w:themeShade="A6"/>
          <w:sz w:val="22"/>
          <w:szCs w:val="22"/>
          <w:lang w:eastAsia="ja-JP"/>
        </w:rPr>
        <w:t xml:space="preserve"> per frequency band</w:t>
      </w:r>
    </w:p>
    <w:p w:rsidR="004E19B3" w:rsidRPr="00485106" w:rsidRDefault="00D1521E" w:rsidP="00003960">
      <w:pPr>
        <w:rPr>
          <w:rFonts w:eastAsia="MS Mincho" w:cs="Arial"/>
          <w:sz w:val="22"/>
          <w:szCs w:val="22"/>
          <w:lang w:eastAsia="ja-JP"/>
        </w:rPr>
      </w:pPr>
      <w:r w:rsidRPr="00485106">
        <w:rPr>
          <w:rFonts w:eastAsia="MS Mincho" w:cs="Arial"/>
          <w:sz w:val="22"/>
          <w:szCs w:val="22"/>
          <w:lang w:eastAsia="ja-JP"/>
        </w:rPr>
        <w:t>As outlined in the LS, the impairments such as phase noise</w:t>
      </w:r>
      <w:r w:rsidR="006105A3">
        <w:rPr>
          <w:rFonts w:eastAsia="MS Mincho" w:cs="Arial"/>
          <w:sz w:val="22"/>
          <w:szCs w:val="22"/>
          <w:lang w:eastAsia="ja-JP"/>
        </w:rPr>
        <w:t>,</w:t>
      </w:r>
      <w:r w:rsidRPr="00485106">
        <w:rPr>
          <w:rFonts w:eastAsia="MS Mincho" w:cs="Arial"/>
          <w:sz w:val="22"/>
          <w:szCs w:val="22"/>
          <w:lang w:eastAsia="ja-JP"/>
        </w:rPr>
        <w:t xml:space="preserve"> and target achievable SINR would affect the choice of sub-carrier spacing</w:t>
      </w:r>
      <w:r w:rsidR="004936D2" w:rsidRPr="00485106">
        <w:rPr>
          <w:rFonts w:eastAsia="MS Mincho" w:cs="Arial"/>
          <w:sz w:val="22"/>
          <w:szCs w:val="22"/>
          <w:lang w:eastAsia="ja-JP"/>
        </w:rPr>
        <w:t xml:space="preserve">, </w:t>
      </w:r>
      <w:proofErr w:type="gramStart"/>
      <w:r w:rsidR="009F6F8C">
        <w:rPr>
          <w:rFonts w:eastAsia="MS Mincho" w:cs="Arial"/>
          <w:sz w:val="22"/>
          <w:szCs w:val="22"/>
          <w:lang w:eastAsia="ja-JP"/>
        </w:rPr>
        <w:t xml:space="preserve">in particular </w:t>
      </w:r>
      <w:r w:rsidR="004936D2" w:rsidRPr="00485106">
        <w:rPr>
          <w:rFonts w:eastAsia="MS Mincho" w:cs="Arial"/>
          <w:sz w:val="22"/>
          <w:szCs w:val="22"/>
          <w:lang w:eastAsia="ja-JP"/>
        </w:rPr>
        <w:t>for</w:t>
      </w:r>
      <w:proofErr w:type="gramEnd"/>
      <w:r w:rsidR="004936D2" w:rsidRPr="00485106">
        <w:rPr>
          <w:rFonts w:eastAsia="MS Mincho" w:cs="Arial"/>
          <w:sz w:val="22"/>
          <w:szCs w:val="22"/>
          <w:lang w:eastAsia="ja-JP"/>
        </w:rPr>
        <w:t xml:space="preserve"> </w:t>
      </w:r>
      <w:r w:rsidRPr="00485106">
        <w:rPr>
          <w:rFonts w:eastAsia="MS Mincho" w:cs="Arial"/>
          <w:sz w:val="22"/>
          <w:szCs w:val="22"/>
          <w:lang w:eastAsia="ja-JP"/>
        </w:rPr>
        <w:t xml:space="preserve">frequency bands in the mm-wave frequency ranges. To address this, we have initiated the discussion on mm-wave phase noise </w:t>
      </w:r>
      <w:r w:rsidR="004936D2" w:rsidRPr="00485106">
        <w:rPr>
          <w:rFonts w:eastAsia="MS Mincho" w:cs="Arial"/>
          <w:sz w:val="22"/>
          <w:szCs w:val="22"/>
          <w:lang w:eastAsia="ja-JP"/>
        </w:rPr>
        <w:t>[2] &amp; [3] where the mechanisms and performance characteristics for phase noise is extensively described. To reach consensus on sub-carrier spacing considering the phase noise impact, RAN4 first should reach consensus on the phase noise model which can be used for different frequency bands in the mm-wave frequency range. [4] provides a comprehensive discussion on modelling of phase noise and an empirically validated model is proposed.</w:t>
      </w:r>
    </w:p>
    <w:p w:rsidR="004936D2" w:rsidRPr="00485106" w:rsidRDefault="004936D2" w:rsidP="00003960">
      <w:pPr>
        <w:rPr>
          <w:rFonts w:eastAsia="MS Mincho" w:cs="Arial"/>
          <w:sz w:val="22"/>
          <w:szCs w:val="22"/>
          <w:lang w:eastAsia="ja-JP"/>
        </w:rPr>
      </w:pPr>
      <w:r w:rsidRPr="00485106">
        <w:rPr>
          <w:rFonts w:eastAsia="MS Mincho" w:cs="Arial"/>
          <w:sz w:val="22"/>
          <w:szCs w:val="22"/>
          <w:lang w:eastAsia="ja-JP"/>
        </w:rPr>
        <w:t>In addition, the choice of sub-carrier spacing would define the modulation spectrum which is a key parameter when the spectrum utilization and guards for NR is concerned. Thus the spectrum utilization level is also another parameter that should be considered when sub-carrier spacing is settled</w:t>
      </w:r>
      <w:r w:rsidR="006105A3">
        <w:rPr>
          <w:rFonts w:eastAsia="MS Mincho" w:cs="Arial"/>
          <w:sz w:val="22"/>
          <w:szCs w:val="22"/>
          <w:lang w:eastAsia="ja-JP"/>
        </w:rPr>
        <w:t xml:space="preserve"> (and/or vice versa)</w:t>
      </w:r>
      <w:r w:rsidRPr="00485106">
        <w:rPr>
          <w:rFonts w:eastAsia="MS Mincho" w:cs="Arial"/>
          <w:sz w:val="22"/>
          <w:szCs w:val="22"/>
          <w:lang w:eastAsia="ja-JP"/>
        </w:rPr>
        <w:t>. In this respect, there are ongoing discussions in</w:t>
      </w:r>
      <w:r w:rsidR="006105A3">
        <w:rPr>
          <w:rFonts w:eastAsia="MS Mincho" w:cs="Arial"/>
          <w:sz w:val="22"/>
          <w:szCs w:val="22"/>
          <w:lang w:eastAsia="ja-JP"/>
        </w:rPr>
        <w:t xml:space="preserve"> RAN4 since a few meetings back; currently the discussion is focussed on below 6GHz.</w:t>
      </w:r>
    </w:p>
    <w:p w:rsidR="004936D2" w:rsidRDefault="00EF3969" w:rsidP="00003960">
      <w:pPr>
        <w:rPr>
          <w:rFonts w:eastAsia="MS Mincho" w:cs="Arial"/>
          <w:sz w:val="22"/>
          <w:szCs w:val="22"/>
          <w:lang w:eastAsia="ja-JP"/>
        </w:rPr>
      </w:pPr>
      <w:r w:rsidRPr="00485106">
        <w:rPr>
          <w:rFonts w:eastAsia="MS Mincho" w:cs="Arial"/>
          <w:sz w:val="22"/>
          <w:szCs w:val="22"/>
          <w:lang w:eastAsia="ja-JP"/>
        </w:rPr>
        <w:t>Considering the size of FFT/IFFT for NR possibly for different frequency bands, the sub-carrier spacing is an important parameter to settle the achievable carrier bandwidths for NR. There is already another LS from RAN1 [</w:t>
      </w:r>
      <w:r w:rsidR="00485106">
        <w:rPr>
          <w:rFonts w:eastAsia="MS Mincho" w:cs="Arial"/>
          <w:sz w:val="22"/>
          <w:szCs w:val="22"/>
          <w:lang w:eastAsia="ja-JP"/>
        </w:rPr>
        <w:t>5</w:t>
      </w:r>
      <w:r w:rsidRPr="00485106">
        <w:rPr>
          <w:rFonts w:eastAsia="MS Mincho" w:cs="Arial"/>
          <w:sz w:val="22"/>
          <w:szCs w:val="22"/>
          <w:lang w:eastAsia="ja-JP"/>
        </w:rPr>
        <w:t>] on the achievable maximum carrier bandwidths from implementation feasibility point of view which is under investigation in RAN4.</w:t>
      </w:r>
    </w:p>
    <w:p w:rsidR="006105A3" w:rsidRPr="00485106" w:rsidRDefault="006105A3" w:rsidP="00003960">
      <w:pPr>
        <w:rPr>
          <w:rFonts w:eastAsia="MS Mincho" w:cs="Arial"/>
          <w:sz w:val="22"/>
          <w:szCs w:val="22"/>
          <w:lang w:eastAsia="ja-JP"/>
        </w:rPr>
      </w:pPr>
      <w:r>
        <w:rPr>
          <w:rFonts w:eastAsia="MS Mincho" w:cs="Arial"/>
          <w:sz w:val="22"/>
          <w:szCs w:val="22"/>
          <w:lang w:eastAsia="ja-JP"/>
        </w:rPr>
        <w:lastRenderedPageBreak/>
        <w:t>The selected sub-carrier spacing and relation to phase noise will also impact the EVM budget and the EVM requirement.</w:t>
      </w:r>
    </w:p>
    <w:p w:rsidR="00694005" w:rsidRPr="00485106" w:rsidRDefault="00694005" w:rsidP="00003960">
      <w:pPr>
        <w:rPr>
          <w:rFonts w:eastAsia="MS Mincho" w:cs="Arial"/>
          <w:sz w:val="22"/>
          <w:szCs w:val="22"/>
          <w:lang w:eastAsia="ja-JP"/>
        </w:rPr>
      </w:pPr>
      <w:r w:rsidRPr="00485106">
        <w:rPr>
          <w:rFonts w:eastAsia="MS Mincho" w:cs="Arial"/>
          <w:sz w:val="22"/>
          <w:szCs w:val="22"/>
          <w:lang w:eastAsia="ja-JP"/>
        </w:rPr>
        <w:t xml:space="preserve">Taking to account that the NR SI does not </w:t>
      </w:r>
      <w:r w:rsidR="00954DC1" w:rsidRPr="00485106">
        <w:rPr>
          <w:rFonts w:eastAsia="MS Mincho" w:cs="Arial"/>
          <w:sz w:val="22"/>
          <w:szCs w:val="22"/>
          <w:lang w:eastAsia="ja-JP"/>
        </w:rPr>
        <w:t>consider</w:t>
      </w:r>
      <w:r w:rsidRPr="00485106">
        <w:rPr>
          <w:rFonts w:eastAsia="MS Mincho" w:cs="Arial"/>
          <w:sz w:val="22"/>
          <w:szCs w:val="22"/>
          <w:lang w:eastAsia="ja-JP"/>
        </w:rPr>
        <w:t xml:space="preserve"> any </w:t>
      </w:r>
      <w:proofErr w:type="gramStart"/>
      <w:r w:rsidR="00954DC1" w:rsidRPr="00485106">
        <w:rPr>
          <w:rFonts w:eastAsia="MS Mincho" w:cs="Arial"/>
          <w:sz w:val="22"/>
          <w:szCs w:val="22"/>
          <w:lang w:eastAsia="ja-JP"/>
        </w:rPr>
        <w:t>specific frequency</w:t>
      </w:r>
      <w:proofErr w:type="gramEnd"/>
      <w:r w:rsidRPr="00485106">
        <w:rPr>
          <w:rFonts w:eastAsia="MS Mincho" w:cs="Arial"/>
          <w:sz w:val="22"/>
          <w:szCs w:val="22"/>
          <w:lang w:eastAsia="ja-JP"/>
        </w:rPr>
        <w:t xml:space="preserve"> band and the ongoing RAN4 discussion on </w:t>
      </w:r>
      <w:r w:rsidR="00954DC1" w:rsidRPr="00485106">
        <w:rPr>
          <w:rFonts w:eastAsia="MS Mincho" w:cs="Arial"/>
          <w:sz w:val="22"/>
          <w:szCs w:val="22"/>
          <w:lang w:eastAsia="ja-JP"/>
        </w:rPr>
        <w:t xml:space="preserve">outlining the candidate bands for NR WI, the choice of sub-carrier spacing would thus </w:t>
      </w:r>
      <w:r w:rsidR="006105A3">
        <w:rPr>
          <w:rFonts w:eastAsia="MS Mincho" w:cs="Arial"/>
          <w:sz w:val="22"/>
          <w:szCs w:val="22"/>
          <w:lang w:eastAsia="ja-JP"/>
        </w:rPr>
        <w:t>relate to</w:t>
      </w:r>
      <w:r w:rsidR="00954DC1" w:rsidRPr="00485106">
        <w:rPr>
          <w:rFonts w:eastAsia="MS Mincho" w:cs="Arial"/>
          <w:sz w:val="22"/>
          <w:szCs w:val="22"/>
          <w:lang w:eastAsia="ja-JP"/>
        </w:rPr>
        <w:t xml:space="preserve"> the agreed NR bands during WI.</w:t>
      </w:r>
      <w:r w:rsidRPr="00485106">
        <w:rPr>
          <w:rFonts w:eastAsia="MS Mincho" w:cs="Arial"/>
          <w:sz w:val="22"/>
          <w:szCs w:val="22"/>
          <w:lang w:eastAsia="ja-JP"/>
        </w:rPr>
        <w:t xml:space="preserve"> </w:t>
      </w:r>
    </w:p>
    <w:p w:rsidR="006105A3" w:rsidRDefault="006105A3" w:rsidP="00003960">
      <w:pPr>
        <w:rPr>
          <w:rFonts w:eastAsia="MS Mincho" w:cs="Arial"/>
          <w:sz w:val="22"/>
          <w:szCs w:val="22"/>
          <w:lang w:eastAsia="ja-JP"/>
        </w:rPr>
      </w:pPr>
      <w:r>
        <w:rPr>
          <w:rFonts w:eastAsia="MS Mincho" w:cs="Arial"/>
          <w:sz w:val="22"/>
          <w:szCs w:val="22"/>
          <w:lang w:eastAsia="ja-JP"/>
        </w:rPr>
        <w:t>Thus the subcarrier spacing fits into a wider jigsaw of RAN4 decisions and requirements on aspects such as EVM, utilization, bandwidth etc. From this perspective, RAN4 decision on applicable subcarrier spacing on a band dependent basis seems the best way forwards.</w:t>
      </w:r>
    </w:p>
    <w:p w:rsidR="00EF3969" w:rsidRPr="00485106" w:rsidRDefault="00694005" w:rsidP="00003960">
      <w:pPr>
        <w:rPr>
          <w:rFonts w:eastAsia="MS Mincho" w:cs="Arial"/>
          <w:sz w:val="22"/>
          <w:szCs w:val="22"/>
          <w:lang w:eastAsia="ja-JP"/>
        </w:rPr>
      </w:pPr>
      <w:r w:rsidRPr="00485106">
        <w:rPr>
          <w:rFonts w:eastAsia="MS Mincho" w:cs="Arial"/>
          <w:sz w:val="22"/>
          <w:szCs w:val="22"/>
          <w:lang w:eastAsia="ja-JP"/>
        </w:rPr>
        <w:t xml:space="preserve">Considering the aspects and dependencies outlined above </w:t>
      </w:r>
      <w:r w:rsidR="00954DC1" w:rsidRPr="00485106">
        <w:rPr>
          <w:rFonts w:eastAsia="MS Mincho" w:cs="Arial"/>
          <w:sz w:val="22"/>
          <w:szCs w:val="22"/>
          <w:lang w:eastAsia="ja-JP"/>
        </w:rPr>
        <w:t xml:space="preserve">including frequency band candidate selection </w:t>
      </w:r>
      <w:r w:rsidRPr="00485106">
        <w:rPr>
          <w:rFonts w:eastAsia="MS Mincho" w:cs="Arial"/>
          <w:sz w:val="22"/>
          <w:szCs w:val="22"/>
          <w:lang w:eastAsia="ja-JP"/>
        </w:rPr>
        <w:t xml:space="preserve">which </w:t>
      </w:r>
      <w:r w:rsidR="00954DC1" w:rsidRPr="00485106">
        <w:rPr>
          <w:rFonts w:eastAsia="MS Mincho" w:cs="Arial"/>
          <w:sz w:val="22"/>
          <w:szCs w:val="22"/>
          <w:lang w:eastAsia="ja-JP"/>
        </w:rPr>
        <w:t xml:space="preserve">are </w:t>
      </w:r>
      <w:r w:rsidRPr="00485106">
        <w:rPr>
          <w:rFonts w:eastAsia="MS Mincho" w:cs="Arial"/>
          <w:sz w:val="22"/>
          <w:szCs w:val="22"/>
          <w:lang w:eastAsia="ja-JP"/>
        </w:rPr>
        <w:t xml:space="preserve">within the mandate of RAN4, we would propose to send an LS response to RAN1, describing the dependencies, the ongoing RAN4 work </w:t>
      </w:r>
      <w:r w:rsidR="00954DC1" w:rsidRPr="00485106">
        <w:rPr>
          <w:rFonts w:eastAsia="MS Mincho" w:cs="Arial"/>
          <w:sz w:val="22"/>
          <w:szCs w:val="22"/>
          <w:lang w:eastAsia="ja-JP"/>
        </w:rPr>
        <w:t xml:space="preserve">on different aspects </w:t>
      </w:r>
      <w:r w:rsidRPr="00485106">
        <w:rPr>
          <w:rFonts w:eastAsia="MS Mincho" w:cs="Arial"/>
          <w:sz w:val="22"/>
          <w:szCs w:val="22"/>
          <w:lang w:eastAsia="ja-JP"/>
        </w:rPr>
        <w:t xml:space="preserve">and </w:t>
      </w:r>
      <w:r w:rsidR="00954DC1" w:rsidRPr="00485106">
        <w:rPr>
          <w:rFonts w:eastAsia="MS Mincho" w:cs="Arial"/>
          <w:sz w:val="22"/>
          <w:szCs w:val="22"/>
          <w:lang w:eastAsia="ja-JP"/>
        </w:rPr>
        <w:t xml:space="preserve">formally request </w:t>
      </w:r>
      <w:r w:rsidRPr="00485106">
        <w:rPr>
          <w:rFonts w:eastAsia="MS Mincho" w:cs="Arial"/>
          <w:sz w:val="22"/>
          <w:szCs w:val="22"/>
          <w:lang w:eastAsia="ja-JP"/>
        </w:rPr>
        <w:t xml:space="preserve">to move the </w:t>
      </w:r>
      <w:r w:rsidR="00FE1278">
        <w:rPr>
          <w:rFonts w:eastAsia="MS Mincho" w:cs="Arial"/>
          <w:sz w:val="22"/>
          <w:szCs w:val="22"/>
          <w:lang w:eastAsia="ja-JP"/>
        </w:rPr>
        <w:t>decision on sub-carrier spacing</w:t>
      </w:r>
      <w:r w:rsidRPr="00485106">
        <w:rPr>
          <w:rFonts w:eastAsia="MS Mincho" w:cs="Arial"/>
          <w:sz w:val="22"/>
          <w:szCs w:val="22"/>
          <w:lang w:eastAsia="ja-JP"/>
        </w:rPr>
        <w:t xml:space="preserve"> for different frequency bands to RAN4</w:t>
      </w:r>
      <w:r w:rsidR="00954DC1" w:rsidRPr="00485106">
        <w:rPr>
          <w:rFonts w:eastAsia="MS Mincho" w:cs="Arial"/>
          <w:sz w:val="22"/>
          <w:szCs w:val="22"/>
          <w:lang w:eastAsia="ja-JP"/>
        </w:rPr>
        <w:t>.</w:t>
      </w:r>
    </w:p>
    <w:p w:rsidR="00EF3969" w:rsidRPr="00485106" w:rsidRDefault="00954DC1" w:rsidP="00003960">
      <w:pPr>
        <w:rPr>
          <w:rFonts w:eastAsia="MS Mincho" w:cs="Arial"/>
          <w:b/>
          <w:sz w:val="22"/>
          <w:szCs w:val="22"/>
          <w:lang w:eastAsia="ja-JP"/>
        </w:rPr>
      </w:pPr>
      <w:r w:rsidRPr="00485106">
        <w:rPr>
          <w:rFonts w:eastAsia="MS Mincho" w:cs="Arial"/>
          <w:b/>
          <w:sz w:val="22"/>
          <w:szCs w:val="22"/>
          <w:lang w:eastAsia="ja-JP"/>
        </w:rPr>
        <w:t>Proposal 1:</w:t>
      </w:r>
    </w:p>
    <w:p w:rsidR="00954DC1" w:rsidRPr="006105A3" w:rsidRDefault="006105A3" w:rsidP="00954DC1">
      <w:pPr>
        <w:rPr>
          <w:rFonts w:eastAsia="MS Mincho" w:cs="Arial"/>
          <w:b/>
          <w:sz w:val="22"/>
          <w:szCs w:val="22"/>
          <w:lang w:eastAsia="ja-JP"/>
        </w:rPr>
      </w:pPr>
      <w:r>
        <w:rPr>
          <w:rFonts w:eastAsia="MS Mincho" w:cs="Arial"/>
          <w:b/>
          <w:sz w:val="22"/>
          <w:szCs w:val="22"/>
          <w:lang w:eastAsia="ja-JP"/>
        </w:rPr>
        <w:t>Outline to RAN1 the RAN4 dependencies on subcarrier spacing and propose that the decision on applicable spacing for each band is taken in RAN4.</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1" w:name="_In-sequence_SDU_delivery"/>
      <w:bookmarkEnd w:id="1"/>
      <w:r w:rsidRPr="001363CA">
        <w:rPr>
          <w:lang w:val="en-US"/>
        </w:rPr>
        <w:t>References</w:t>
      </w:r>
    </w:p>
    <w:p w:rsidR="004936D2" w:rsidRPr="002C6C2F" w:rsidRDefault="007361D9" w:rsidP="007361D9">
      <w:pPr>
        <w:spacing w:after="60"/>
        <w:ind w:left="1985" w:hanging="1985"/>
        <w:rPr>
          <w:rFonts w:eastAsia="MS Mincho" w:cs="Arial"/>
          <w:bCs/>
          <w:sz w:val="22"/>
          <w:szCs w:val="22"/>
          <w:lang w:eastAsia="ja-JP"/>
        </w:rPr>
      </w:pPr>
      <w:bookmarkStart w:id="2" w:name="_Ref174151459"/>
      <w:bookmarkStart w:id="3" w:name="_Ref189809556"/>
      <w:bookmarkStart w:id="4" w:name="_Ref449615003"/>
      <w:r w:rsidRPr="002C6C2F">
        <w:rPr>
          <w:sz w:val="22"/>
          <w:szCs w:val="22"/>
          <w:lang w:val="en-US"/>
        </w:rPr>
        <w:t xml:space="preserve">[1]   </w:t>
      </w:r>
      <w:r w:rsidR="00253E53" w:rsidRPr="002C6C2F">
        <w:rPr>
          <w:sz w:val="22"/>
          <w:szCs w:val="22"/>
          <w:lang w:val="en-US"/>
        </w:rPr>
        <w:t>R</w:t>
      </w:r>
      <w:r w:rsidR="00D1521E">
        <w:rPr>
          <w:sz w:val="22"/>
          <w:szCs w:val="22"/>
          <w:lang w:val="en-US"/>
        </w:rPr>
        <w:t>1</w:t>
      </w:r>
      <w:r w:rsidR="00253E53" w:rsidRPr="002C6C2F">
        <w:rPr>
          <w:sz w:val="22"/>
          <w:szCs w:val="22"/>
          <w:lang w:val="en-US"/>
        </w:rPr>
        <w:t>-16</w:t>
      </w:r>
      <w:r w:rsidR="00D1521E">
        <w:rPr>
          <w:sz w:val="22"/>
          <w:szCs w:val="22"/>
          <w:lang w:val="en-US"/>
        </w:rPr>
        <w:t>13748</w:t>
      </w:r>
      <w:r w:rsidR="00311702" w:rsidRPr="002C6C2F">
        <w:rPr>
          <w:sz w:val="22"/>
          <w:szCs w:val="22"/>
          <w:lang w:val="en-US"/>
        </w:rPr>
        <w:t>,</w:t>
      </w:r>
      <w:r w:rsidR="0098295C" w:rsidRPr="002C6C2F">
        <w:rPr>
          <w:sz w:val="22"/>
          <w:szCs w:val="22"/>
          <w:lang w:val="en-US"/>
        </w:rPr>
        <w:t xml:space="preserve"> </w:t>
      </w:r>
      <w:r w:rsidRPr="002C6C2F">
        <w:rPr>
          <w:sz w:val="22"/>
          <w:szCs w:val="22"/>
          <w:lang w:val="en-US"/>
        </w:rPr>
        <w:t>“</w:t>
      </w:r>
      <w:r w:rsidRPr="002C6C2F">
        <w:rPr>
          <w:rFonts w:eastAsia="MS Mincho" w:cs="Arial"/>
          <w:bCs/>
          <w:sz w:val="22"/>
          <w:szCs w:val="22"/>
          <w:lang w:eastAsia="ja-JP"/>
        </w:rPr>
        <w:t xml:space="preserve">LS on </w:t>
      </w:r>
      <w:r w:rsidR="00D1521E">
        <w:rPr>
          <w:rFonts w:eastAsia="MS Mincho" w:cs="Arial"/>
          <w:bCs/>
          <w:sz w:val="22"/>
          <w:szCs w:val="22"/>
          <w:lang w:eastAsia="ja-JP"/>
        </w:rPr>
        <w:t xml:space="preserve">sub-carrier </w:t>
      </w:r>
      <w:proofErr w:type="spellStart"/>
      <w:r w:rsidR="00D1521E">
        <w:rPr>
          <w:rFonts w:eastAsia="MS Mincho" w:cs="Arial"/>
          <w:bCs/>
          <w:sz w:val="22"/>
          <w:szCs w:val="22"/>
          <w:lang w:eastAsia="ja-JP"/>
        </w:rPr>
        <w:t>spacings</w:t>
      </w:r>
      <w:proofErr w:type="spellEnd"/>
      <w:r w:rsidR="00D1521E">
        <w:rPr>
          <w:rFonts w:eastAsia="MS Mincho" w:cs="Arial"/>
          <w:bCs/>
          <w:sz w:val="22"/>
          <w:szCs w:val="22"/>
          <w:lang w:eastAsia="ja-JP"/>
        </w:rPr>
        <w:t xml:space="preserve"> and carrier frequencies</w:t>
      </w:r>
      <w:r w:rsidRPr="002C6C2F">
        <w:rPr>
          <w:rFonts w:eastAsia="MS Mincho" w:cs="Arial"/>
          <w:bCs/>
          <w:sz w:val="22"/>
          <w:szCs w:val="22"/>
          <w:lang w:eastAsia="ja-JP"/>
        </w:rPr>
        <w:t>”, RAN1</w:t>
      </w:r>
    </w:p>
    <w:p w:rsidR="004936D2" w:rsidRDefault="004936D2" w:rsidP="004961FD">
      <w:pPr>
        <w:spacing w:after="60"/>
        <w:rPr>
          <w:rFonts w:eastAsia="MS Mincho" w:cs="Arial"/>
          <w:bCs/>
          <w:sz w:val="22"/>
          <w:szCs w:val="22"/>
          <w:lang w:eastAsia="ja-JP"/>
        </w:rPr>
      </w:pPr>
    </w:p>
    <w:bookmarkEnd w:id="2"/>
    <w:bookmarkEnd w:id="3"/>
    <w:bookmarkEnd w:id="4"/>
    <w:p w:rsidR="008525F8" w:rsidRPr="00A16C26" w:rsidRDefault="008525F8" w:rsidP="007361D9">
      <w:pPr>
        <w:pStyle w:val="Reference"/>
        <w:numPr>
          <w:ilvl w:val="0"/>
          <w:numId w:val="0"/>
        </w:numPr>
        <w:ind w:left="567" w:hanging="567"/>
        <w:rPr>
          <w:sz w:val="22"/>
          <w:szCs w:val="22"/>
          <w:lang w:val="en-US"/>
        </w:rPr>
      </w:pPr>
    </w:p>
    <w:sectPr w:rsidR="008525F8" w:rsidRPr="00A16C2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C0A" w:rsidRDefault="000F7C0A">
      <w:r>
        <w:separator/>
      </w:r>
    </w:p>
  </w:endnote>
  <w:endnote w:type="continuationSeparator" w:id="0">
    <w:p w:rsidR="000F7C0A" w:rsidRDefault="000F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768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768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C0A" w:rsidRDefault="000F7C0A">
      <w:r>
        <w:separator/>
      </w:r>
    </w:p>
  </w:footnote>
  <w:footnote w:type="continuationSeparator" w:id="0">
    <w:p w:rsidR="000F7C0A" w:rsidRDefault="000F7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DCF6806"/>
    <w:multiLevelType w:val="hybridMultilevel"/>
    <w:tmpl w:val="DC72C624"/>
    <w:lvl w:ilvl="0" w:tplc="A0846D4E">
      <w:start w:val="1"/>
      <w:numFmt w:val="bullet"/>
      <w:lvlText w:val="•"/>
      <w:lvlJc w:val="left"/>
      <w:pPr>
        <w:ind w:left="420" w:hanging="420"/>
      </w:pPr>
      <w:rPr>
        <w:rFonts w:ascii="MS PGothic" w:eastAsia="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8"/>
  </w:num>
  <w:num w:numId="3">
    <w:abstractNumId w:val="22"/>
  </w:num>
  <w:num w:numId="4">
    <w:abstractNumId w:val="23"/>
  </w:num>
  <w:num w:numId="5">
    <w:abstractNumId w:val="16"/>
  </w:num>
  <w:num w:numId="6">
    <w:abstractNumId w:val="26"/>
  </w:num>
  <w:num w:numId="7">
    <w:abstractNumId w:val="31"/>
  </w:num>
  <w:num w:numId="8">
    <w:abstractNumId w:val="17"/>
  </w:num>
  <w:num w:numId="9">
    <w:abstractNumId w:val="12"/>
  </w:num>
  <w:num w:numId="10">
    <w:abstractNumId w:val="10"/>
  </w:num>
  <w:num w:numId="11">
    <w:abstractNumId w:val="11"/>
  </w:num>
  <w:num w:numId="12">
    <w:abstractNumId w:val="18"/>
  </w:num>
  <w:num w:numId="13">
    <w:abstractNumId w:val="19"/>
  </w:num>
  <w:num w:numId="14">
    <w:abstractNumId w:val="9"/>
  </w:num>
  <w:num w:numId="15">
    <w:abstractNumId w:val="14"/>
  </w:num>
  <w:num w:numId="16">
    <w:abstractNumId w:val="33"/>
  </w:num>
  <w:num w:numId="17">
    <w:abstractNumId w:val="34"/>
  </w:num>
  <w:num w:numId="18">
    <w:abstractNumId w:val="37"/>
  </w:num>
  <w:num w:numId="19">
    <w:abstractNumId w:val="32"/>
  </w:num>
  <w:num w:numId="20">
    <w:abstractNumId w:val="20"/>
  </w:num>
  <w:num w:numId="21">
    <w:abstractNumId w:val="30"/>
  </w:num>
  <w:num w:numId="22">
    <w:abstractNumId w:val="24"/>
  </w:num>
  <w:num w:numId="23">
    <w:abstractNumId w:val="8"/>
  </w:num>
  <w:num w:numId="24">
    <w:abstractNumId w:val="38"/>
  </w:num>
  <w:num w:numId="25">
    <w:abstractNumId w:val="7"/>
  </w:num>
  <w:num w:numId="26">
    <w:abstractNumId w:val="27"/>
  </w:num>
  <w:num w:numId="27">
    <w:abstractNumId w:val="21"/>
  </w:num>
  <w:num w:numId="28">
    <w:abstractNumId w:val="5"/>
  </w:num>
  <w:num w:numId="29">
    <w:abstractNumId w:val="15"/>
  </w:num>
  <w:num w:numId="30">
    <w:abstractNumId w:val="2"/>
  </w:num>
  <w:num w:numId="31">
    <w:abstractNumId w:val="1"/>
  </w:num>
  <w:num w:numId="32">
    <w:abstractNumId w:val="0"/>
  </w:num>
  <w:num w:numId="33">
    <w:abstractNumId w:val="4"/>
  </w:num>
  <w:num w:numId="34">
    <w:abstractNumId w:val="36"/>
  </w:num>
  <w:num w:numId="35">
    <w:abstractNumId w:val="28"/>
  </w:num>
  <w:num w:numId="36">
    <w:abstractNumId w:val="39"/>
  </w:num>
  <w:num w:numId="37">
    <w:abstractNumId w:val="13"/>
  </w:num>
  <w:num w:numId="38">
    <w:abstractNumId w:val="35"/>
  </w:num>
  <w:num w:numId="39">
    <w:abstractNumId w:val="25"/>
  </w:num>
  <w:num w:numId="40">
    <w:abstractNumId w:val="29"/>
  </w:num>
  <w:num w:numId="4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3960"/>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92D"/>
    <w:rsid w:val="00042EF7"/>
    <w:rsid w:val="00042F22"/>
    <w:rsid w:val="000444EF"/>
    <w:rsid w:val="00052A07"/>
    <w:rsid w:val="000534E3"/>
    <w:rsid w:val="0005606A"/>
    <w:rsid w:val="00056FB2"/>
    <w:rsid w:val="00057117"/>
    <w:rsid w:val="000616E7"/>
    <w:rsid w:val="0006487E"/>
    <w:rsid w:val="00065D5B"/>
    <w:rsid w:val="00065E1A"/>
    <w:rsid w:val="00072A13"/>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9D0"/>
    <w:rsid w:val="000B4AB9"/>
    <w:rsid w:val="000B58C3"/>
    <w:rsid w:val="000B61E9"/>
    <w:rsid w:val="000B7F85"/>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0F7C0A"/>
    <w:rsid w:val="000F7F14"/>
    <w:rsid w:val="001005FF"/>
    <w:rsid w:val="00103BD6"/>
    <w:rsid w:val="001062FB"/>
    <w:rsid w:val="001063E6"/>
    <w:rsid w:val="001100DB"/>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8B6"/>
    <w:rsid w:val="001B0D97"/>
    <w:rsid w:val="001B5025"/>
    <w:rsid w:val="001B5A5D"/>
    <w:rsid w:val="001C0955"/>
    <w:rsid w:val="001C185C"/>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253B"/>
    <w:rsid w:val="00253262"/>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C6C2F"/>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05D"/>
    <w:rsid w:val="00342BD7"/>
    <w:rsid w:val="00346DB5"/>
    <w:rsid w:val="003477B1"/>
    <w:rsid w:val="00347BE6"/>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3456"/>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5106"/>
    <w:rsid w:val="004874C1"/>
    <w:rsid w:val="00492BC5"/>
    <w:rsid w:val="004936D2"/>
    <w:rsid w:val="004961FD"/>
    <w:rsid w:val="004964F1"/>
    <w:rsid w:val="004A16BC"/>
    <w:rsid w:val="004A17D7"/>
    <w:rsid w:val="004A2B94"/>
    <w:rsid w:val="004A3016"/>
    <w:rsid w:val="004B450E"/>
    <w:rsid w:val="004B7C0C"/>
    <w:rsid w:val="004C210F"/>
    <w:rsid w:val="004C3898"/>
    <w:rsid w:val="004C6FF7"/>
    <w:rsid w:val="004D25D8"/>
    <w:rsid w:val="004D36B1"/>
    <w:rsid w:val="004D5851"/>
    <w:rsid w:val="004D7EBD"/>
    <w:rsid w:val="004E19B3"/>
    <w:rsid w:val="004E2680"/>
    <w:rsid w:val="004E28F9"/>
    <w:rsid w:val="004E462E"/>
    <w:rsid w:val="004E56DC"/>
    <w:rsid w:val="004E76F4"/>
    <w:rsid w:val="004F0B4E"/>
    <w:rsid w:val="004F0B6C"/>
    <w:rsid w:val="004F2078"/>
    <w:rsid w:val="004F2910"/>
    <w:rsid w:val="004F4DA3"/>
    <w:rsid w:val="00503AFB"/>
    <w:rsid w:val="00506557"/>
    <w:rsid w:val="0050677A"/>
    <w:rsid w:val="005108D8"/>
    <w:rsid w:val="005116F9"/>
    <w:rsid w:val="005153A7"/>
    <w:rsid w:val="005219CF"/>
    <w:rsid w:val="005270CC"/>
    <w:rsid w:val="00534B59"/>
    <w:rsid w:val="00536759"/>
    <w:rsid w:val="00537C62"/>
    <w:rsid w:val="0054499E"/>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0F4A"/>
    <w:rsid w:val="005F1AD4"/>
    <w:rsid w:val="005F2CB1"/>
    <w:rsid w:val="005F5620"/>
    <w:rsid w:val="005F5DB4"/>
    <w:rsid w:val="005F618C"/>
    <w:rsid w:val="005F70BD"/>
    <w:rsid w:val="0060283C"/>
    <w:rsid w:val="00604F14"/>
    <w:rsid w:val="006105A3"/>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4005"/>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1D9"/>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539"/>
    <w:rsid w:val="00776971"/>
    <w:rsid w:val="0078177E"/>
    <w:rsid w:val="0078304C"/>
    <w:rsid w:val="00783673"/>
    <w:rsid w:val="00784159"/>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1C1"/>
    <w:rsid w:val="007D5901"/>
    <w:rsid w:val="007D7526"/>
    <w:rsid w:val="007E4610"/>
    <w:rsid w:val="007E4715"/>
    <w:rsid w:val="007E505B"/>
    <w:rsid w:val="007E5BC2"/>
    <w:rsid w:val="007E673C"/>
    <w:rsid w:val="007E7091"/>
    <w:rsid w:val="007F7DCF"/>
    <w:rsid w:val="00803FAE"/>
    <w:rsid w:val="00805DC4"/>
    <w:rsid w:val="0080605F"/>
    <w:rsid w:val="00807786"/>
    <w:rsid w:val="00811FCB"/>
    <w:rsid w:val="008158D6"/>
    <w:rsid w:val="0081669C"/>
    <w:rsid w:val="00817196"/>
    <w:rsid w:val="008173B2"/>
    <w:rsid w:val="00817D39"/>
    <w:rsid w:val="00821786"/>
    <w:rsid w:val="00823111"/>
    <w:rsid w:val="008235DB"/>
    <w:rsid w:val="00824AB4"/>
    <w:rsid w:val="00825C42"/>
    <w:rsid w:val="00825D25"/>
    <w:rsid w:val="00827D6F"/>
    <w:rsid w:val="00833714"/>
    <w:rsid w:val="00833F0D"/>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06E"/>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191F"/>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4DC1"/>
    <w:rsid w:val="0095681E"/>
    <w:rsid w:val="009572D4"/>
    <w:rsid w:val="00961921"/>
    <w:rsid w:val="0096430A"/>
    <w:rsid w:val="0096477F"/>
    <w:rsid w:val="0096554B"/>
    <w:rsid w:val="0096584A"/>
    <w:rsid w:val="0096668A"/>
    <w:rsid w:val="00971F08"/>
    <w:rsid w:val="0097603D"/>
    <w:rsid w:val="00976949"/>
    <w:rsid w:val="00980477"/>
    <w:rsid w:val="0098295C"/>
    <w:rsid w:val="00984E66"/>
    <w:rsid w:val="00985253"/>
    <w:rsid w:val="009853B3"/>
    <w:rsid w:val="009877CB"/>
    <w:rsid w:val="00990630"/>
    <w:rsid w:val="00991761"/>
    <w:rsid w:val="00994DCA"/>
    <w:rsid w:val="009960EC"/>
    <w:rsid w:val="009970DD"/>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9F6F8C"/>
    <w:rsid w:val="00A048A8"/>
    <w:rsid w:val="00A064C3"/>
    <w:rsid w:val="00A07C04"/>
    <w:rsid w:val="00A101F1"/>
    <w:rsid w:val="00A116B3"/>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6860"/>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4533"/>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1FAE"/>
    <w:rsid w:val="00BF3279"/>
    <w:rsid w:val="00BF3283"/>
    <w:rsid w:val="00BF3EFE"/>
    <w:rsid w:val="00BF74C7"/>
    <w:rsid w:val="00C015F1"/>
    <w:rsid w:val="00C01F33"/>
    <w:rsid w:val="00C02620"/>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1521E"/>
    <w:rsid w:val="00D239A7"/>
    <w:rsid w:val="00D23F47"/>
    <w:rsid w:val="00D25BED"/>
    <w:rsid w:val="00D336C8"/>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17EA"/>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63ED"/>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3969"/>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2C9"/>
    <w:rsid w:val="00FD1EC8"/>
    <w:rsid w:val="00FD286B"/>
    <w:rsid w:val="00FD47ED"/>
    <w:rsid w:val="00FD61E8"/>
    <w:rsid w:val="00FD74DB"/>
    <w:rsid w:val="00FD7660"/>
    <w:rsid w:val="00FE0655"/>
    <w:rsid w:val="00FE1278"/>
    <w:rsid w:val="00FE2365"/>
    <w:rsid w:val="00FE4C7B"/>
    <w:rsid w:val="00FE7336"/>
    <w:rsid w:val="00FE787C"/>
    <w:rsid w:val="00FF45A5"/>
    <w:rsid w:val="00FF50DA"/>
    <w:rsid w:val="00FF5C91"/>
    <w:rsid w:val="00FF6D71"/>
    <w:rsid w:val="00FF768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EE9E4"/>
  <w15:docId w15:val="{2063645C-33B1-4FC2-8936-7864E9DA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link w:val="HeaderChar"/>
    <w:uiPriority w:val="99"/>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character" w:customStyle="1" w:styleId="HeaderChar">
    <w:name w:val="Header Char"/>
    <w:basedOn w:val="DefaultParagraphFont"/>
    <w:link w:val="Header"/>
    <w:uiPriority w:val="99"/>
    <w:locked/>
    <w:rsid w:val="00D1521E"/>
    <w:rPr>
      <w:rFonts w:ascii="Arial" w:hAnsi="Arial" w:cs="Arial"/>
      <w:b/>
      <w:bCs/>
      <w:noProof/>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 w:id="527648558">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30428-8DBD-4899-AF54-1106B9B95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63</TotalTime>
  <Pages>2</Pages>
  <Words>705</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Farshid Ghasemzadeh</dc:creator>
  <cp:keywords>3GPP; Ericsson; TDoc</cp:keywords>
  <dc:description/>
  <cp:lastModifiedBy>Thomas Chapman</cp:lastModifiedBy>
  <cp:revision>11</cp:revision>
  <cp:lastPrinted>2008-01-31T07:09:00Z</cp:lastPrinted>
  <dcterms:created xsi:type="dcterms:W3CDTF">2016-12-10T13:18:00Z</dcterms:created>
  <dcterms:modified xsi:type="dcterms:W3CDTF">2017-01-06T18:53:00Z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